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278" w:rsidRDefault="00B907B7">
      <w:pPr>
        <w:rPr>
          <w:rFonts w:ascii="Utopia" w:hAnsi="Utopia"/>
          <w:color w:val="244061" w:themeColor="accent1" w:themeShade="80"/>
        </w:rPr>
      </w:pPr>
      <w:r w:rsidRPr="00B907B7">
        <w:rPr>
          <w:rFonts w:ascii="Utopia" w:hAnsi="Utopia"/>
          <w:color w:val="244061" w:themeColor="accent1" w:themeShade="80"/>
        </w:rPr>
        <w:t>Die Wärmespeicherübersicht ist in zwei Grafiken unterteilt. Die obere Grafik zeigt den aktuellen Speicherzustand sowie die Speicherentwicklung, die auf Basis von Wärmebedarfsvorhersagen und platzierten Geboten erstellt wird</w:t>
      </w:r>
      <w:r>
        <w:rPr>
          <w:rFonts w:ascii="Utopia" w:hAnsi="Utopia"/>
          <w:color w:val="244061" w:themeColor="accent1" w:themeShade="80"/>
        </w:rPr>
        <w:t>.</w:t>
      </w:r>
      <w:bookmarkStart w:id="0" w:name="_GoBack"/>
      <w:bookmarkEnd w:id="0"/>
    </w:p>
    <w:p w:rsidR="009C3F2B" w:rsidRPr="00E77A3D" w:rsidRDefault="009C3F2B" w:rsidP="009C3F2B">
      <w:pPr>
        <w:keepNext/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en-US" w:eastAsia="en-US" w:bidi="ar-SA"/>
        </w:rPr>
        <w:drawing>
          <wp:inline distT="0" distB="0" distL="0" distR="0">
            <wp:extent cx="6124575" cy="2501900"/>
            <wp:effectExtent l="0" t="0" r="9525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F2B" w:rsidRPr="00E77A3D" w:rsidRDefault="009C3F2B" w:rsidP="009C3F2B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1A2ADA" w:rsidRPr="00E77A3D">
        <w:rPr>
          <w:color w:val="244061" w:themeColor="accent1" w:themeShade="80"/>
        </w:rPr>
        <w:fldChar w:fldCharType="begin"/>
      </w:r>
      <w:r w:rsidR="00E34700" w:rsidRPr="00E77A3D">
        <w:rPr>
          <w:color w:val="244061" w:themeColor="accent1" w:themeShade="80"/>
        </w:rPr>
        <w:instrText xml:space="preserve"> SEQ Figur \* ARABIC </w:instrText>
      </w:r>
      <w:r w:rsidR="001A2ADA" w:rsidRPr="00E77A3D">
        <w:rPr>
          <w:color w:val="244061" w:themeColor="accent1" w:themeShade="80"/>
        </w:rPr>
        <w:fldChar w:fldCharType="separate"/>
      </w:r>
      <w:r w:rsidR="00F51F7A" w:rsidRPr="00E77A3D">
        <w:rPr>
          <w:noProof/>
          <w:color w:val="244061" w:themeColor="accent1" w:themeShade="80"/>
        </w:rPr>
        <w:t>1</w:t>
      </w:r>
      <w:r w:rsidR="001A2ADA" w:rsidRPr="00E77A3D">
        <w:rPr>
          <w:noProof/>
          <w:color w:val="244061" w:themeColor="accent1" w:themeShade="80"/>
        </w:rPr>
        <w:fldChar w:fldCharType="end"/>
      </w:r>
    </w:p>
    <w:p w:rsidR="009C3F2B" w:rsidRPr="00E77A3D" w:rsidRDefault="009C3F2B" w:rsidP="009C3F2B">
      <w:pPr>
        <w:rPr>
          <w:color w:val="244061" w:themeColor="accent1" w:themeShade="80"/>
        </w:rPr>
      </w:pPr>
    </w:p>
    <w:p w:rsidR="009C3F2B" w:rsidRPr="00E77A3D" w:rsidRDefault="00670444" w:rsidP="009C3F2B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 xml:space="preserve">Die untere Grafik zeigt die </w:t>
      </w:r>
      <w:r w:rsidR="00A05278">
        <w:rPr>
          <w:rFonts w:ascii="Utopia" w:hAnsi="Utopia"/>
          <w:color w:val="244061" w:themeColor="accent1" w:themeShade="80"/>
        </w:rPr>
        <w:t>Wärme</w:t>
      </w:r>
      <w:r w:rsidR="007F44C2">
        <w:rPr>
          <w:rFonts w:ascii="Utopia" w:hAnsi="Utopia"/>
          <w:color w:val="244061" w:themeColor="accent1" w:themeShade="80"/>
        </w:rPr>
        <w:t>p</w:t>
      </w:r>
      <w:r w:rsidR="00A05278">
        <w:rPr>
          <w:rFonts w:ascii="Utopia" w:hAnsi="Utopia"/>
          <w:color w:val="244061" w:themeColor="accent1" w:themeShade="80"/>
        </w:rPr>
        <w:t>roduktion</w:t>
      </w:r>
      <w:r>
        <w:rPr>
          <w:rFonts w:ascii="Utopia" w:hAnsi="Utopia"/>
          <w:color w:val="244061" w:themeColor="accent1" w:themeShade="80"/>
        </w:rPr>
        <w:t xml:space="preserve"> an. Wenn die Speichertankhochrechnung die untere Grenze erreicht, nimmt der PBAS Planning Assistant den Kesselbetrieb an (siehe Abb. 2).</w:t>
      </w:r>
    </w:p>
    <w:p w:rsidR="00670444" w:rsidRPr="00E77A3D" w:rsidRDefault="00670444" w:rsidP="00670444">
      <w:pPr>
        <w:keepNext/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en-US" w:eastAsia="en-US" w:bidi="ar-SA"/>
        </w:rPr>
        <w:drawing>
          <wp:inline distT="0" distB="0" distL="0" distR="0">
            <wp:extent cx="6564630" cy="966470"/>
            <wp:effectExtent l="0" t="0" r="7620" b="508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444" w:rsidRPr="00E77A3D" w:rsidRDefault="00670444" w:rsidP="00670444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1A2ADA" w:rsidRPr="00E77A3D">
        <w:rPr>
          <w:color w:val="244061" w:themeColor="accent1" w:themeShade="80"/>
        </w:rPr>
        <w:fldChar w:fldCharType="begin"/>
      </w:r>
      <w:r w:rsidR="00E34700" w:rsidRPr="00E77A3D">
        <w:rPr>
          <w:color w:val="244061" w:themeColor="accent1" w:themeShade="80"/>
        </w:rPr>
        <w:instrText xml:space="preserve"> SEQ Figur \* ARABIC </w:instrText>
      </w:r>
      <w:r w:rsidR="001A2ADA" w:rsidRPr="00E77A3D">
        <w:rPr>
          <w:color w:val="244061" w:themeColor="accent1" w:themeShade="80"/>
        </w:rPr>
        <w:fldChar w:fldCharType="separate"/>
      </w:r>
      <w:r w:rsidR="00F51F7A" w:rsidRPr="00E77A3D">
        <w:rPr>
          <w:noProof/>
          <w:color w:val="244061" w:themeColor="accent1" w:themeShade="80"/>
        </w:rPr>
        <w:t>2</w:t>
      </w:r>
      <w:r w:rsidR="001A2ADA" w:rsidRPr="00E77A3D">
        <w:rPr>
          <w:noProof/>
          <w:color w:val="244061" w:themeColor="accent1" w:themeShade="80"/>
        </w:rPr>
        <w:fldChar w:fldCharType="end"/>
      </w:r>
    </w:p>
    <w:p w:rsidR="00670444" w:rsidRPr="00E77A3D" w:rsidRDefault="00F51F7A" w:rsidP="00670444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 xml:space="preserve">Durch Rechtsklicken auf die Grafik kann ebenfalls die geschätzte Wärmeabnahme angezeigt werden: </w:t>
      </w:r>
    </w:p>
    <w:p w:rsidR="00F51F7A" w:rsidRPr="00E77A3D" w:rsidRDefault="00F51F7A" w:rsidP="00F51F7A">
      <w:pPr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en-US" w:eastAsia="en-US" w:bidi="ar-SA"/>
        </w:rPr>
        <w:drawing>
          <wp:inline distT="0" distB="0" distL="0" distR="0">
            <wp:extent cx="1932305" cy="577850"/>
            <wp:effectExtent l="0" t="0" r="0" b="0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F7A" w:rsidRPr="00E77A3D" w:rsidRDefault="00F51F7A" w:rsidP="00F51F7A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Die Grafik wird dann in die Anzeige der Wärmeabnahme geändert (siehe Abb. 3). Der angenommene Kesselbetrieb entspricht stets der Wärmeabnahme, um den Mindestwert des Speichertanks zu halten.</w:t>
      </w:r>
      <w:r w:rsidR="007D0526">
        <w:rPr>
          <w:rFonts w:ascii="Utopia" w:hAnsi="Utopia"/>
          <w:color w:val="244061" w:themeColor="accent1" w:themeShade="80"/>
        </w:rPr>
        <w:t xml:space="preserve"> </w:t>
      </w:r>
    </w:p>
    <w:p w:rsidR="00F51F7A" w:rsidRPr="00E77A3D" w:rsidRDefault="00F51F7A" w:rsidP="00F51F7A">
      <w:pPr>
        <w:keepNext/>
        <w:jc w:val="center"/>
        <w:rPr>
          <w:color w:val="244061" w:themeColor="accent1" w:themeShade="80"/>
        </w:rPr>
      </w:pPr>
      <w:r>
        <w:rPr>
          <w:noProof/>
          <w:color w:val="244061" w:themeColor="accent1" w:themeShade="80"/>
          <w:lang w:val="en-US" w:eastAsia="en-US" w:bidi="ar-SA"/>
        </w:rPr>
        <w:drawing>
          <wp:inline distT="0" distB="0" distL="0" distR="0">
            <wp:extent cx="6573520" cy="1449070"/>
            <wp:effectExtent l="0" t="0" r="0" b="0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52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F7A" w:rsidRPr="00E77A3D" w:rsidRDefault="00F51F7A" w:rsidP="00F51F7A">
      <w:pPr>
        <w:pStyle w:val="Caption"/>
        <w:jc w:val="center"/>
        <w:rPr>
          <w:color w:val="244061" w:themeColor="accent1" w:themeShade="80"/>
        </w:rPr>
      </w:pPr>
      <w:r>
        <w:rPr>
          <w:color w:val="244061" w:themeColor="accent1" w:themeShade="80"/>
        </w:rPr>
        <w:t xml:space="preserve">Abb. </w:t>
      </w:r>
      <w:r w:rsidR="001A2ADA" w:rsidRPr="00E77A3D">
        <w:rPr>
          <w:color w:val="244061" w:themeColor="accent1" w:themeShade="80"/>
        </w:rPr>
        <w:fldChar w:fldCharType="begin"/>
      </w:r>
      <w:r w:rsidR="00E34700" w:rsidRPr="00E77A3D">
        <w:rPr>
          <w:color w:val="244061" w:themeColor="accent1" w:themeShade="80"/>
        </w:rPr>
        <w:instrText xml:space="preserve"> SEQ Figur \* ARABIC </w:instrText>
      </w:r>
      <w:r w:rsidR="001A2ADA" w:rsidRPr="00E77A3D">
        <w:rPr>
          <w:color w:val="244061" w:themeColor="accent1" w:themeShade="80"/>
        </w:rPr>
        <w:fldChar w:fldCharType="separate"/>
      </w:r>
      <w:r w:rsidRPr="00E77A3D">
        <w:rPr>
          <w:noProof/>
          <w:color w:val="244061" w:themeColor="accent1" w:themeShade="80"/>
        </w:rPr>
        <w:t>3</w:t>
      </w:r>
      <w:r w:rsidR="001A2ADA" w:rsidRPr="00E77A3D">
        <w:rPr>
          <w:noProof/>
          <w:color w:val="244061" w:themeColor="accent1" w:themeShade="80"/>
        </w:rPr>
        <w:fldChar w:fldCharType="end"/>
      </w:r>
    </w:p>
    <w:sectPr w:rsidR="00F51F7A" w:rsidRPr="00E77A3D" w:rsidSect="00064E45">
      <w:pgSz w:w="11907" w:h="31678"/>
      <w:pgMar w:top="426" w:right="1134" w:bottom="28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opia">
    <w:altName w:val="Times New Roman"/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064E45"/>
    <w:rsid w:val="00063ADF"/>
    <w:rsid w:val="00064E45"/>
    <w:rsid w:val="001A2ADA"/>
    <w:rsid w:val="00521DAA"/>
    <w:rsid w:val="00670444"/>
    <w:rsid w:val="007B55F2"/>
    <w:rsid w:val="007D0526"/>
    <w:rsid w:val="007F44C2"/>
    <w:rsid w:val="009C3F2B"/>
    <w:rsid w:val="00A05278"/>
    <w:rsid w:val="00B86A52"/>
    <w:rsid w:val="00B907B7"/>
    <w:rsid w:val="00E01EBE"/>
    <w:rsid w:val="00E34700"/>
    <w:rsid w:val="00E77A3D"/>
    <w:rsid w:val="00F5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CDEC6-B0C9-4AFD-AF32-4E0ADE126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A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F2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9C3F2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NEAS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Christian Rath</cp:lastModifiedBy>
  <cp:revision>12</cp:revision>
  <dcterms:created xsi:type="dcterms:W3CDTF">2013-11-20T11:16:00Z</dcterms:created>
  <dcterms:modified xsi:type="dcterms:W3CDTF">2015-10-18T08:18:00Z</dcterms:modified>
</cp:coreProperties>
</file>