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D" w:rsidRPr="00B80060" w:rsidRDefault="004A5FFD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Wie in Abb. 1 gezeigt, gelangt man über Einstellungen </w:t>
      </w:r>
      <w:r w:rsidRPr="00B80060">
        <w:rPr>
          <w:rFonts w:ascii="Utopia" w:hAnsi="Utopia"/>
          <w:color w:val="244061" w:themeColor="accent1" w:themeShade="80"/>
        </w:rPr>
        <w:sym w:font="Wingdings" w:char="F0E0"/>
      </w:r>
      <w:r>
        <w:rPr>
          <w:rFonts w:ascii="Utopia" w:hAnsi="Utopia"/>
          <w:color w:val="244061" w:themeColor="accent1" w:themeShade="80"/>
        </w:rPr>
        <w:t xml:space="preserve"> </w:t>
      </w:r>
      <w:r w:rsidR="00BD5F4B">
        <w:rPr>
          <w:rFonts w:ascii="Utopia" w:hAnsi="Utopia"/>
          <w:color w:val="244061" w:themeColor="accent1" w:themeShade="80"/>
        </w:rPr>
        <w:t>Marginal Preiskalkulation</w:t>
      </w:r>
      <w:r>
        <w:rPr>
          <w:rFonts w:ascii="Utopia" w:hAnsi="Utopia"/>
          <w:color w:val="244061" w:themeColor="accent1" w:themeShade="80"/>
        </w:rPr>
        <w:t xml:space="preserve"> zur Grenzpreisberechnung.</w:t>
      </w:r>
      <w:r w:rsidR="00707037">
        <w:rPr>
          <w:rFonts w:ascii="Utopia" w:hAnsi="Utopia"/>
          <w:color w:val="244061" w:themeColor="accent1" w:themeShade="80"/>
        </w:rPr>
        <w:t xml:space="preserve"> </w:t>
      </w:r>
    </w:p>
    <w:p w:rsidR="004A5FFD" w:rsidRPr="00B80060" w:rsidRDefault="009E6C75" w:rsidP="004A5FFD">
      <w:pPr>
        <w:keepNext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6146165" cy="1415415"/>
            <wp:effectExtent l="0" t="0" r="6985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2D3" w:rsidRPr="00B80060" w:rsidRDefault="004A5FFD" w:rsidP="004A5FFD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802E8C" w:rsidRPr="00B80060">
        <w:rPr>
          <w:color w:val="244061" w:themeColor="accent1" w:themeShade="80"/>
        </w:rPr>
        <w:fldChar w:fldCharType="begin"/>
      </w:r>
      <w:r w:rsidR="00C7739D" w:rsidRPr="00B80060">
        <w:rPr>
          <w:color w:val="244061" w:themeColor="accent1" w:themeShade="80"/>
        </w:rPr>
        <w:instrText xml:space="preserve"> SEQ Figur \* ARABIC </w:instrText>
      </w:r>
      <w:r w:rsidR="00802E8C" w:rsidRPr="00B80060">
        <w:rPr>
          <w:color w:val="244061" w:themeColor="accent1" w:themeShade="80"/>
        </w:rPr>
        <w:fldChar w:fldCharType="separate"/>
      </w:r>
      <w:r w:rsidR="00464626" w:rsidRPr="00B80060">
        <w:rPr>
          <w:noProof/>
          <w:color w:val="244061" w:themeColor="accent1" w:themeShade="80"/>
        </w:rPr>
        <w:t>1</w:t>
      </w:r>
      <w:r w:rsidR="00802E8C" w:rsidRPr="00B80060">
        <w:rPr>
          <w:noProof/>
          <w:color w:val="244061" w:themeColor="accent1" w:themeShade="80"/>
        </w:rPr>
        <w:fldChar w:fldCharType="end"/>
      </w:r>
    </w:p>
    <w:p w:rsidR="000C6F85" w:rsidRPr="00B80060" w:rsidRDefault="000C6F85" w:rsidP="000C6F85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Das Hauptfenster für die Grenzpreisberechnung wird geöffnet (Abb. 2).</w:t>
      </w:r>
    </w:p>
    <w:p w:rsidR="005D7808" w:rsidRPr="00B80060" w:rsidRDefault="000C6F85" w:rsidP="005D7808">
      <w:pPr>
        <w:keepNext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6114415" cy="4285615"/>
            <wp:effectExtent l="0" t="0" r="635" b="635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F85" w:rsidRPr="00B80060" w:rsidRDefault="005D7808" w:rsidP="005D7808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802E8C" w:rsidRPr="00B80060">
        <w:rPr>
          <w:color w:val="244061" w:themeColor="accent1" w:themeShade="80"/>
        </w:rPr>
        <w:fldChar w:fldCharType="begin"/>
      </w:r>
      <w:r w:rsidR="00C7739D" w:rsidRPr="00B80060">
        <w:rPr>
          <w:color w:val="244061" w:themeColor="accent1" w:themeShade="80"/>
        </w:rPr>
        <w:instrText xml:space="preserve"> SEQ Figur \* ARABIC </w:instrText>
      </w:r>
      <w:r w:rsidR="00802E8C" w:rsidRPr="00B80060">
        <w:rPr>
          <w:color w:val="244061" w:themeColor="accent1" w:themeShade="80"/>
        </w:rPr>
        <w:fldChar w:fldCharType="separate"/>
      </w:r>
      <w:r w:rsidR="00464626" w:rsidRPr="00B80060">
        <w:rPr>
          <w:noProof/>
          <w:color w:val="244061" w:themeColor="accent1" w:themeShade="80"/>
        </w:rPr>
        <w:t>2</w:t>
      </w:r>
      <w:r w:rsidR="00802E8C" w:rsidRPr="00B80060">
        <w:rPr>
          <w:noProof/>
          <w:color w:val="244061" w:themeColor="accent1" w:themeShade="80"/>
        </w:rPr>
        <w:fldChar w:fldCharType="end"/>
      </w:r>
    </w:p>
    <w:p w:rsidR="00946C4D" w:rsidRPr="00B80060" w:rsidRDefault="00946C4D" w:rsidP="000C6F85">
      <w:pPr>
        <w:pStyle w:val="Heading2"/>
        <w:rPr>
          <w:color w:val="244061" w:themeColor="accent1" w:themeShade="80"/>
        </w:rPr>
      </w:pPr>
      <w:r>
        <w:rPr>
          <w:color w:val="244061" w:themeColor="accent1" w:themeShade="80"/>
        </w:rPr>
        <w:t>Gaspreis</w:t>
      </w:r>
    </w:p>
    <w:p w:rsidR="00C212A3" w:rsidRDefault="00C212A3" w:rsidP="004F7A1C">
      <w:pPr>
        <w:rPr>
          <w:rFonts w:ascii="Utopia" w:hAnsi="Utopia"/>
          <w:color w:val="244061" w:themeColor="accent1" w:themeShade="80"/>
        </w:rPr>
      </w:pPr>
      <w:r w:rsidRPr="00C212A3">
        <w:rPr>
          <w:rFonts w:ascii="Utopia" w:hAnsi="Utopia"/>
          <w:color w:val="244061" w:themeColor="accent1" w:themeShade="80"/>
        </w:rPr>
        <w:t>Zuerst werden in der Grenzpreisberechnung der Gaslieferant und der Preis eingegeben. PBAS Planning Assistant bildet die Gaspreise von folgenden Börsen ab: Gaspreise von NordPool und EEX/NCG.</w:t>
      </w:r>
      <w:r w:rsidR="001836E9">
        <w:rPr>
          <w:rFonts w:ascii="Utopia" w:hAnsi="Utopia"/>
          <w:color w:val="244061" w:themeColor="accent1" w:themeShade="80"/>
        </w:rPr>
        <w:br/>
      </w:r>
      <w:bookmarkStart w:id="0" w:name="_GoBack"/>
      <w:bookmarkEnd w:id="0"/>
      <w:r w:rsidRPr="00C212A3">
        <w:rPr>
          <w:rFonts w:ascii="Utopia" w:hAnsi="Utopia"/>
          <w:color w:val="244061" w:themeColor="accent1" w:themeShade="80"/>
        </w:rPr>
        <w:t xml:space="preserve">Der Tagespreis kann durch Drücken der </w:t>
      </w:r>
      <w:r>
        <w:rPr>
          <w:rFonts w:ascii="Utopia" w:hAnsi="Utopia"/>
          <w:noProof/>
          <w:color w:val="244061" w:themeColor="accent1" w:themeShade="80"/>
          <w:lang w:val="en-US" w:eastAsia="en-US" w:bidi="ar-SA"/>
        </w:rPr>
        <w:drawing>
          <wp:inline distT="0" distB="0" distL="0" distR="0" wp14:anchorId="74FDBA49" wp14:editId="44E0886B">
            <wp:extent cx="270510" cy="191135"/>
            <wp:effectExtent l="0" t="0" r="0" b="0"/>
            <wp:docPr id="5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topia" w:hAnsi="Utopia"/>
          <w:color w:val="244061" w:themeColor="accent1" w:themeShade="80"/>
        </w:rPr>
        <w:t>-</w:t>
      </w:r>
      <w:r w:rsidRPr="00C212A3">
        <w:rPr>
          <w:rFonts w:ascii="Utopia" w:hAnsi="Utopia"/>
          <w:color w:val="244061" w:themeColor="accent1" w:themeShade="80"/>
        </w:rPr>
        <w:t>Taste gefunden werden</w:t>
      </w:r>
      <w:r>
        <w:rPr>
          <w:rFonts w:ascii="Utopia" w:hAnsi="Utopia"/>
          <w:color w:val="244061" w:themeColor="accent1" w:themeShade="80"/>
        </w:rPr>
        <w:t xml:space="preserve"> </w:t>
      </w:r>
      <w:r>
        <w:rPr>
          <w:rFonts w:ascii="Utopia" w:hAnsi="Utopia"/>
          <w:color w:val="244061" w:themeColor="accent1" w:themeShade="80"/>
        </w:rPr>
        <w:t>(siehe Abb. 3).</w:t>
      </w:r>
    </w:p>
    <w:p w:rsidR="005D7808" w:rsidRPr="00B80060" w:rsidRDefault="000C6F85" w:rsidP="005D7808">
      <w:pPr>
        <w:keepNext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6122670" cy="2536190"/>
            <wp:effectExtent l="0" t="0" r="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F85" w:rsidRPr="00B80060" w:rsidRDefault="005D7808" w:rsidP="005D7808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802E8C" w:rsidRPr="00B80060">
        <w:rPr>
          <w:color w:val="244061" w:themeColor="accent1" w:themeShade="80"/>
        </w:rPr>
        <w:fldChar w:fldCharType="begin"/>
      </w:r>
      <w:r w:rsidR="00C7739D" w:rsidRPr="00B80060">
        <w:rPr>
          <w:color w:val="244061" w:themeColor="accent1" w:themeShade="80"/>
        </w:rPr>
        <w:instrText xml:space="preserve"> SEQ Figur \* ARABIC </w:instrText>
      </w:r>
      <w:r w:rsidR="00802E8C" w:rsidRPr="00B80060">
        <w:rPr>
          <w:color w:val="244061" w:themeColor="accent1" w:themeShade="80"/>
        </w:rPr>
        <w:fldChar w:fldCharType="separate"/>
      </w:r>
      <w:r w:rsidR="00464626" w:rsidRPr="00B80060">
        <w:rPr>
          <w:noProof/>
          <w:color w:val="244061" w:themeColor="accent1" w:themeShade="80"/>
        </w:rPr>
        <w:t>3</w:t>
      </w:r>
      <w:r w:rsidR="00802E8C" w:rsidRPr="00B80060">
        <w:rPr>
          <w:noProof/>
          <w:color w:val="244061" w:themeColor="accent1" w:themeShade="80"/>
        </w:rPr>
        <w:fldChar w:fldCharType="end"/>
      </w:r>
    </w:p>
    <w:p w:rsidR="000C6F85" w:rsidRPr="00B80060" w:rsidRDefault="00587378" w:rsidP="000C6F85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Wenn die Anlage nicht mit NordPool oder NCG/EEX arbeitet oder einen Festpreisvertrag hat, wird „</w:t>
      </w:r>
      <w:r w:rsidR="00BD5F4B">
        <w:rPr>
          <w:rFonts w:ascii="Utopia" w:hAnsi="Utopia"/>
          <w:color w:val="244061" w:themeColor="accent1" w:themeShade="80"/>
        </w:rPr>
        <w:t>Eingetragener Gaspreis</w:t>
      </w:r>
      <w:r>
        <w:rPr>
          <w:rFonts w:ascii="Utopia" w:hAnsi="Utopia"/>
          <w:color w:val="244061" w:themeColor="accent1" w:themeShade="80"/>
        </w:rPr>
        <w:t>“ gewählt, und der Preis wird im Feld unter der Auswahl eingegeben.</w:t>
      </w:r>
    </w:p>
    <w:p w:rsidR="00587378" w:rsidRPr="00B80060" w:rsidRDefault="00587378" w:rsidP="000C6F85">
      <w:pPr>
        <w:rPr>
          <w:color w:val="244061" w:themeColor="accent1" w:themeShade="80"/>
        </w:rPr>
      </w:pPr>
    </w:p>
    <w:p w:rsidR="00946C4D" w:rsidRPr="00B80060" w:rsidRDefault="00946C4D" w:rsidP="000C6F85">
      <w:pPr>
        <w:pStyle w:val="Heading2"/>
        <w:rPr>
          <w:color w:val="244061" w:themeColor="accent1" w:themeShade="80"/>
        </w:rPr>
      </w:pPr>
      <w:r>
        <w:rPr>
          <w:color w:val="244061" w:themeColor="accent1" w:themeShade="80"/>
        </w:rPr>
        <w:t>Abgaben</w:t>
      </w:r>
    </w:p>
    <w:p w:rsidR="000C6F85" w:rsidRPr="00B80060" w:rsidRDefault="00587378" w:rsidP="000C6F85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Sofern erwünscht, können die Standardwerte für verschiedene Abgaben angepasst werden, um den Grenzpreis zu berechnen. Dies erfolgt unter „Abgaben“, indem unter „</w:t>
      </w:r>
      <w:r w:rsidR="00BD5F4B">
        <w:rPr>
          <w:rFonts w:ascii="Utopia" w:hAnsi="Utopia"/>
          <w:color w:val="244061" w:themeColor="accent1" w:themeShade="80"/>
        </w:rPr>
        <w:t>Eingetragener Gaspreis</w:t>
      </w:r>
      <w:r>
        <w:rPr>
          <w:rFonts w:ascii="Utopia" w:hAnsi="Utopia"/>
          <w:color w:val="244061" w:themeColor="accent1" w:themeShade="80"/>
        </w:rPr>
        <w:t>“ zu „Ja“ gewechselt wird. Wird diese Funktion verwendet und es soll zu den Standardwerten zurückkehrt werden, wird wieder auf „Nein“ gewechselt. Wenn die Werte eingegeben wurden, drückt man auf „Eigene Abgaben speichern“.</w:t>
      </w:r>
    </w:p>
    <w:p w:rsidR="005D7808" w:rsidRPr="00B80060" w:rsidRDefault="005D7808" w:rsidP="00286372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3172460" cy="2799080"/>
            <wp:effectExtent l="0" t="0" r="8890" b="1270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279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808" w:rsidRPr="00B80060" w:rsidRDefault="005D7808" w:rsidP="005D7808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802E8C" w:rsidRPr="00B80060">
        <w:rPr>
          <w:color w:val="244061" w:themeColor="accent1" w:themeShade="80"/>
        </w:rPr>
        <w:fldChar w:fldCharType="begin"/>
      </w:r>
      <w:r w:rsidR="00C7739D" w:rsidRPr="00B80060">
        <w:rPr>
          <w:color w:val="244061" w:themeColor="accent1" w:themeShade="80"/>
        </w:rPr>
        <w:instrText xml:space="preserve"> SEQ Figur \* ARABIC </w:instrText>
      </w:r>
      <w:r w:rsidR="00802E8C" w:rsidRPr="00B80060">
        <w:rPr>
          <w:color w:val="244061" w:themeColor="accent1" w:themeShade="80"/>
        </w:rPr>
        <w:fldChar w:fldCharType="separate"/>
      </w:r>
      <w:r w:rsidR="00464626" w:rsidRPr="00B80060">
        <w:rPr>
          <w:noProof/>
          <w:color w:val="244061" w:themeColor="accent1" w:themeShade="80"/>
        </w:rPr>
        <w:t>4</w:t>
      </w:r>
      <w:r w:rsidR="00802E8C" w:rsidRPr="00B80060">
        <w:rPr>
          <w:noProof/>
          <w:color w:val="244061" w:themeColor="accent1" w:themeShade="80"/>
        </w:rPr>
        <w:fldChar w:fldCharType="end"/>
      </w:r>
    </w:p>
    <w:p w:rsidR="005D7808" w:rsidRPr="00B80060" w:rsidRDefault="005D7808" w:rsidP="000C6F85">
      <w:pPr>
        <w:rPr>
          <w:color w:val="244061" w:themeColor="accent1" w:themeShade="80"/>
        </w:rPr>
      </w:pPr>
    </w:p>
    <w:p w:rsidR="00946C4D" w:rsidRPr="00B80060" w:rsidRDefault="00946C4D" w:rsidP="000C6F85">
      <w:pPr>
        <w:pStyle w:val="Heading2"/>
        <w:rPr>
          <w:color w:val="244061" w:themeColor="accent1" w:themeShade="80"/>
        </w:rPr>
      </w:pPr>
      <w:r>
        <w:rPr>
          <w:color w:val="244061" w:themeColor="accent1" w:themeShade="80"/>
        </w:rPr>
        <w:t>Formel und Wirkungsgrade</w:t>
      </w:r>
    </w:p>
    <w:p w:rsidR="00464626" w:rsidRPr="00B80060" w:rsidRDefault="00464626" w:rsidP="00464626">
      <w:pPr>
        <w:pStyle w:val="Caption"/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5112385" cy="2115185"/>
            <wp:effectExtent l="0" t="0" r="0" b="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8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C4D" w:rsidRPr="00B80060" w:rsidRDefault="00464626" w:rsidP="00464626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802E8C" w:rsidRPr="00B80060">
        <w:rPr>
          <w:color w:val="244061" w:themeColor="accent1" w:themeShade="80"/>
        </w:rPr>
        <w:fldChar w:fldCharType="begin"/>
      </w:r>
      <w:r w:rsidR="00C7739D" w:rsidRPr="00B80060">
        <w:rPr>
          <w:color w:val="244061" w:themeColor="accent1" w:themeShade="80"/>
        </w:rPr>
        <w:instrText xml:space="preserve"> SEQ Figur \* ARABIC </w:instrText>
      </w:r>
      <w:r w:rsidR="00802E8C" w:rsidRPr="00B80060">
        <w:rPr>
          <w:color w:val="244061" w:themeColor="accent1" w:themeShade="80"/>
        </w:rPr>
        <w:fldChar w:fldCharType="separate"/>
      </w:r>
      <w:r w:rsidRPr="00B80060">
        <w:rPr>
          <w:noProof/>
          <w:color w:val="244061" w:themeColor="accent1" w:themeShade="80"/>
        </w:rPr>
        <w:t>5</w:t>
      </w:r>
      <w:r w:rsidR="00802E8C" w:rsidRPr="00B80060">
        <w:rPr>
          <w:noProof/>
          <w:color w:val="244061" w:themeColor="accent1" w:themeShade="80"/>
        </w:rPr>
        <w:fldChar w:fldCharType="end"/>
      </w:r>
    </w:p>
    <w:sectPr w:rsidR="00946C4D" w:rsidRPr="00B80060" w:rsidSect="00286372">
      <w:pgSz w:w="16840" w:h="31678" w:code="8"/>
      <w:pgMar w:top="284" w:right="6067" w:bottom="1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41CFE"/>
    <w:multiLevelType w:val="hybridMultilevel"/>
    <w:tmpl w:val="D970209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9E6C75"/>
    <w:rsid w:val="000029EF"/>
    <w:rsid w:val="00063ADF"/>
    <w:rsid w:val="000C6F85"/>
    <w:rsid w:val="001836E9"/>
    <w:rsid w:val="00286372"/>
    <w:rsid w:val="00464626"/>
    <w:rsid w:val="004A5FFD"/>
    <w:rsid w:val="004F7A1C"/>
    <w:rsid w:val="00587378"/>
    <w:rsid w:val="005D7808"/>
    <w:rsid w:val="00707037"/>
    <w:rsid w:val="007B55F2"/>
    <w:rsid w:val="00802E8C"/>
    <w:rsid w:val="00946C4D"/>
    <w:rsid w:val="009E6C75"/>
    <w:rsid w:val="00AA72FB"/>
    <w:rsid w:val="00B80060"/>
    <w:rsid w:val="00BD5F4B"/>
    <w:rsid w:val="00C212A3"/>
    <w:rsid w:val="00C7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6682A-5EEC-46C0-8D6E-614C8B6E7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E8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6C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C7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4A5FF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946C4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46C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Christian Rath</cp:lastModifiedBy>
  <cp:revision>16</cp:revision>
  <dcterms:created xsi:type="dcterms:W3CDTF">2013-10-14T12:10:00Z</dcterms:created>
  <dcterms:modified xsi:type="dcterms:W3CDTF">2015-10-18T08:22:00Z</dcterms:modified>
</cp:coreProperties>
</file>