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42D3" w:rsidRPr="00FC7B1E" w:rsidRDefault="00523972">
      <w:pPr>
        <w:rPr>
          <w:color w:val="244061" w:themeColor="accent1" w:themeShade="80"/>
        </w:rPr>
      </w:pPr>
      <w:r>
        <w:rPr>
          <w:color w:val="244061" w:themeColor="accent1" w:themeShade="80"/>
        </w:rPr>
        <w:t xml:space="preserve">Wie in Abb. 1 gezeigt, gelangt man über Einstellungen </w:t>
      </w:r>
      <w:r w:rsidRPr="00FC7B1E">
        <w:rPr>
          <w:color w:val="244061" w:themeColor="accent1" w:themeShade="80"/>
        </w:rPr>
        <w:sym w:font="Wingdings" w:char="F0E0"/>
      </w:r>
      <w:r>
        <w:rPr>
          <w:color w:val="244061" w:themeColor="accent1" w:themeShade="80"/>
        </w:rPr>
        <w:t xml:space="preserve"> </w:t>
      </w:r>
      <w:r w:rsidR="00DA4843" w:rsidRPr="00DA4843">
        <w:rPr>
          <w:color w:val="244061" w:themeColor="accent1" w:themeShade="80"/>
        </w:rPr>
        <w:t>Optimierungsmölichkeiten</w:t>
      </w:r>
      <w:r w:rsidR="00DA4843">
        <w:rPr>
          <w:color w:val="244061" w:themeColor="accent1" w:themeShade="80"/>
        </w:rPr>
        <w:t xml:space="preserve"> </w:t>
      </w:r>
      <w:r>
        <w:rPr>
          <w:color w:val="244061" w:themeColor="accent1" w:themeShade="80"/>
        </w:rPr>
        <w:t>zu den Optimierungseinstellungen.</w:t>
      </w:r>
      <w:r w:rsidR="00136C44">
        <w:rPr>
          <w:color w:val="244061" w:themeColor="accent1" w:themeShade="80"/>
        </w:rPr>
        <w:t xml:space="preserve"> </w:t>
      </w:r>
    </w:p>
    <w:p w:rsidR="00523972" w:rsidRPr="00FC7B1E" w:rsidRDefault="00523972" w:rsidP="00A34923">
      <w:pPr>
        <w:keepNext/>
        <w:jc w:val="center"/>
        <w:rPr>
          <w:color w:val="244061" w:themeColor="accent1" w:themeShade="80"/>
        </w:rPr>
      </w:pPr>
      <w:r>
        <w:rPr>
          <w:noProof/>
          <w:color w:val="244061" w:themeColor="accent1" w:themeShade="80"/>
          <w:lang w:val="en-US" w:eastAsia="en-US" w:bidi="ar-SA"/>
        </w:rPr>
        <w:drawing>
          <wp:inline distT="0" distB="0" distL="0" distR="0">
            <wp:extent cx="5546785" cy="1312817"/>
            <wp:effectExtent l="0" t="0" r="0" b="1905"/>
            <wp:docPr id="1" name="Bille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5545231" cy="1312449"/>
                    </a:xfrm>
                    <a:prstGeom prst="rect">
                      <a:avLst/>
                    </a:prstGeom>
                    <a:noFill/>
                    <a:ln>
                      <a:noFill/>
                    </a:ln>
                  </pic:spPr>
                </pic:pic>
              </a:graphicData>
            </a:graphic>
          </wp:inline>
        </w:drawing>
      </w:r>
    </w:p>
    <w:p w:rsidR="00523972" w:rsidRPr="00FC7B1E" w:rsidRDefault="00523972" w:rsidP="00523972">
      <w:pPr>
        <w:pStyle w:val="Caption"/>
        <w:jc w:val="center"/>
        <w:rPr>
          <w:color w:val="244061" w:themeColor="accent1" w:themeShade="80"/>
        </w:rPr>
      </w:pPr>
      <w:r>
        <w:rPr>
          <w:color w:val="244061" w:themeColor="accent1" w:themeShade="80"/>
        </w:rPr>
        <w:t xml:space="preserve">Abb. </w:t>
      </w:r>
      <w:r w:rsidR="00121ADB" w:rsidRPr="00FC7B1E">
        <w:rPr>
          <w:color w:val="244061" w:themeColor="accent1" w:themeShade="80"/>
        </w:rPr>
        <w:fldChar w:fldCharType="begin"/>
      </w:r>
      <w:r w:rsidR="00FC7B1E" w:rsidRPr="00FC7B1E">
        <w:rPr>
          <w:color w:val="244061" w:themeColor="accent1" w:themeShade="80"/>
        </w:rPr>
        <w:instrText xml:space="preserve"> SEQ Figur \* ARABIC </w:instrText>
      </w:r>
      <w:r w:rsidR="00121ADB" w:rsidRPr="00FC7B1E">
        <w:rPr>
          <w:color w:val="244061" w:themeColor="accent1" w:themeShade="80"/>
        </w:rPr>
        <w:fldChar w:fldCharType="separate"/>
      </w:r>
      <w:r w:rsidR="00CC5004">
        <w:rPr>
          <w:noProof/>
          <w:color w:val="244061" w:themeColor="accent1" w:themeShade="80"/>
        </w:rPr>
        <w:t>1</w:t>
      </w:r>
      <w:r w:rsidR="00121ADB" w:rsidRPr="00FC7B1E">
        <w:rPr>
          <w:noProof/>
          <w:color w:val="244061" w:themeColor="accent1" w:themeShade="80"/>
        </w:rPr>
        <w:fldChar w:fldCharType="end"/>
      </w:r>
    </w:p>
    <w:p w:rsidR="00523972" w:rsidRPr="00FC7B1E" w:rsidRDefault="0034080A">
      <w:pPr>
        <w:rPr>
          <w:color w:val="244061" w:themeColor="accent1" w:themeShade="80"/>
        </w:rPr>
      </w:pPr>
      <w:r>
        <w:rPr>
          <w:color w:val="244061" w:themeColor="accent1" w:themeShade="80"/>
        </w:rPr>
        <w:t>Das Hauptfenster für die Optimierungseinstellungen wird geöffnet (Abb. 2).</w:t>
      </w:r>
    </w:p>
    <w:p w:rsidR="0034080A" w:rsidRPr="00FC7B1E" w:rsidRDefault="0034080A" w:rsidP="00A34923">
      <w:pPr>
        <w:keepNext/>
        <w:jc w:val="center"/>
        <w:rPr>
          <w:color w:val="244061" w:themeColor="accent1" w:themeShade="80"/>
        </w:rPr>
      </w:pPr>
      <w:r>
        <w:rPr>
          <w:noProof/>
          <w:color w:val="244061" w:themeColor="accent1" w:themeShade="80"/>
          <w:lang w:val="en-US" w:eastAsia="en-US" w:bidi="ar-SA"/>
        </w:rPr>
        <w:drawing>
          <wp:inline distT="0" distB="0" distL="0" distR="0">
            <wp:extent cx="4856672" cy="3398007"/>
            <wp:effectExtent l="0" t="0" r="1270" b="0"/>
            <wp:docPr id="2" name="Bille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861321" cy="3401260"/>
                    </a:xfrm>
                    <a:prstGeom prst="rect">
                      <a:avLst/>
                    </a:prstGeom>
                    <a:noFill/>
                    <a:ln>
                      <a:noFill/>
                    </a:ln>
                  </pic:spPr>
                </pic:pic>
              </a:graphicData>
            </a:graphic>
          </wp:inline>
        </w:drawing>
      </w:r>
    </w:p>
    <w:p w:rsidR="0034080A" w:rsidRPr="00FC7B1E" w:rsidRDefault="0034080A" w:rsidP="0034080A">
      <w:pPr>
        <w:pStyle w:val="Caption"/>
        <w:jc w:val="center"/>
        <w:rPr>
          <w:color w:val="244061" w:themeColor="accent1" w:themeShade="80"/>
        </w:rPr>
      </w:pPr>
      <w:r>
        <w:rPr>
          <w:color w:val="244061" w:themeColor="accent1" w:themeShade="80"/>
        </w:rPr>
        <w:t xml:space="preserve">Abb. </w:t>
      </w:r>
      <w:r w:rsidR="00121ADB" w:rsidRPr="00FC7B1E">
        <w:rPr>
          <w:color w:val="244061" w:themeColor="accent1" w:themeShade="80"/>
        </w:rPr>
        <w:fldChar w:fldCharType="begin"/>
      </w:r>
      <w:r w:rsidR="00FC7B1E" w:rsidRPr="00FC7B1E">
        <w:rPr>
          <w:color w:val="244061" w:themeColor="accent1" w:themeShade="80"/>
        </w:rPr>
        <w:instrText xml:space="preserve"> SEQ Figur \* ARABIC </w:instrText>
      </w:r>
      <w:r w:rsidR="00121ADB" w:rsidRPr="00FC7B1E">
        <w:rPr>
          <w:color w:val="244061" w:themeColor="accent1" w:themeShade="80"/>
        </w:rPr>
        <w:fldChar w:fldCharType="separate"/>
      </w:r>
      <w:r w:rsidR="00CC5004">
        <w:rPr>
          <w:noProof/>
          <w:color w:val="244061" w:themeColor="accent1" w:themeShade="80"/>
        </w:rPr>
        <w:t>2</w:t>
      </w:r>
      <w:r w:rsidR="00121ADB" w:rsidRPr="00FC7B1E">
        <w:rPr>
          <w:noProof/>
          <w:color w:val="244061" w:themeColor="accent1" w:themeShade="80"/>
        </w:rPr>
        <w:fldChar w:fldCharType="end"/>
      </w:r>
    </w:p>
    <w:p w:rsidR="0034080A" w:rsidRDefault="005C1982" w:rsidP="00BB5455">
      <w:pPr>
        <w:pStyle w:val="Heading2"/>
      </w:pPr>
      <w:r>
        <w:t>Allgemein</w:t>
      </w:r>
    </w:p>
    <w:p w:rsidR="00BB5455" w:rsidRDefault="006148E9" w:rsidP="0034080A">
      <w:pPr>
        <w:rPr>
          <w:color w:val="244061" w:themeColor="accent1" w:themeShade="80"/>
        </w:rPr>
      </w:pPr>
      <w:r w:rsidRPr="006148E9">
        <w:rPr>
          <w:color w:val="244061" w:themeColor="accent1" w:themeShade="80"/>
        </w:rPr>
        <w:t>Unter Allgemein kann die Einstellung „Lange Blockgebote aufteilen falls möglich“ ausgewählt werden</w:t>
      </w:r>
      <w:bookmarkStart w:id="0" w:name="_GoBack"/>
      <w:bookmarkEnd w:id="0"/>
      <w:r w:rsidR="00BB5455">
        <w:rPr>
          <w:color w:val="244061" w:themeColor="accent1" w:themeShade="80"/>
        </w:rPr>
        <w:t>. Diese Einstellung führt dazu, dass Blockgebote so kurz wie möglich (und in Verlängerung zueinander) gehalten werden. Wird hier angekreuzt, ist die Flexibilität größer, die Chance auf lange Produktionen jedoch geringer.</w:t>
      </w:r>
    </w:p>
    <w:p w:rsidR="00BB5455" w:rsidRDefault="005C1982" w:rsidP="00BB5455">
      <w:pPr>
        <w:pStyle w:val="Heading2"/>
      </w:pPr>
      <w:r>
        <w:t>Einstellungen für K</w:t>
      </w:r>
      <w:r w:rsidR="00BB5455">
        <w:t>essel</w:t>
      </w:r>
    </w:p>
    <w:p w:rsidR="00BB5455" w:rsidRDefault="00BB5455" w:rsidP="0034080A">
      <w:pPr>
        <w:rPr>
          <w:color w:val="244061" w:themeColor="accent1" w:themeShade="80"/>
        </w:rPr>
      </w:pPr>
      <w:r>
        <w:rPr>
          <w:color w:val="244061" w:themeColor="accent1" w:themeShade="80"/>
        </w:rPr>
        <w:t xml:space="preserve">Die Einstellungen für Gaskessel werden genutzt, um den </w:t>
      </w:r>
      <w:r w:rsidR="005C1982">
        <w:rPr>
          <w:color w:val="244061" w:themeColor="accent1" w:themeShade="80"/>
        </w:rPr>
        <w:t>Wärmespeicher nicht unter dem</w:t>
      </w:r>
      <w:r>
        <w:rPr>
          <w:color w:val="244061" w:themeColor="accent1" w:themeShade="80"/>
        </w:rPr>
        <w:t xml:space="preserve"> Mindestwert </w:t>
      </w:r>
      <w:r w:rsidR="005C1982">
        <w:rPr>
          <w:color w:val="244061" w:themeColor="accent1" w:themeShade="80"/>
        </w:rPr>
        <w:t>fallen zu lassen</w:t>
      </w:r>
      <w:r>
        <w:rPr>
          <w:color w:val="244061" w:themeColor="accent1" w:themeShade="80"/>
        </w:rPr>
        <w:t xml:space="preserve">. Wenn der </w:t>
      </w:r>
      <w:r w:rsidR="005C1982">
        <w:rPr>
          <w:color w:val="244061" w:themeColor="accent1" w:themeShade="80"/>
        </w:rPr>
        <w:t>W</w:t>
      </w:r>
      <w:r w:rsidR="005C1982" w:rsidRPr="005C1982">
        <w:rPr>
          <w:color w:val="244061" w:themeColor="accent1" w:themeShade="80"/>
        </w:rPr>
        <w:t>ärmespeicher</w:t>
      </w:r>
      <w:r>
        <w:rPr>
          <w:color w:val="244061" w:themeColor="accent1" w:themeShade="80"/>
        </w:rPr>
        <w:t xml:space="preserve"> den Mindestwert trifft, nimmt der PBAS Planning Assistant den Kesselbetrieb entsprechend der Wärmeabnahme an.</w:t>
      </w:r>
    </w:p>
    <w:p w:rsidR="00BB5455" w:rsidRDefault="00BB5455" w:rsidP="00BB5455">
      <w:pPr>
        <w:pStyle w:val="Heading2"/>
      </w:pPr>
      <w:r>
        <w:t>O</w:t>
      </w:r>
      <w:r w:rsidR="005C1982">
        <w:t>ptimierungseinstellungen für die Arbeit</w:t>
      </w:r>
    </w:p>
    <w:p w:rsidR="00BB5455" w:rsidRDefault="00551AAE" w:rsidP="00BB5455">
      <w:r>
        <w:t xml:space="preserve">Die Optimierungseinstellungen der Einheit bieten mehrere Unterpunkte – einen allgemeinen und einen für jeden Markt. Unter den allgemeinen Einstellungen können Sie Ihre allgemeine Flexibilität und die Startkosten auswählen. </w:t>
      </w:r>
    </w:p>
    <w:p w:rsidR="009A5841" w:rsidRDefault="005C1982" w:rsidP="009A5841">
      <w:pPr>
        <w:pStyle w:val="Heading3"/>
      </w:pPr>
      <w:r>
        <w:t>Art der Produktion</w:t>
      </w:r>
    </w:p>
    <w:p w:rsidR="00C0104B" w:rsidRDefault="00C0104B" w:rsidP="00BB5455">
      <w:r>
        <w:t xml:space="preserve">Unter dem Segment </w:t>
      </w:r>
      <w:r w:rsidR="00B508B3" w:rsidRPr="00B508B3">
        <w:t>Art der Produktion</w:t>
      </w:r>
      <w:r>
        <w:t xml:space="preserve"> befinden sich Einstellungen, die Spot- und Blockproduktion betreffen.  Wählen Sie „Spotproduktion vorschlagen“ oder „Bl</w:t>
      </w:r>
      <w:r w:rsidR="00B508B3">
        <w:t>ockproduktion</w:t>
      </w:r>
      <w:r>
        <w:t xml:space="preserve"> vorschlagen“, je nachdem, ob eine Spot- oder Blockproduktion der automatischen Produktionsplanung benötigt wird.</w:t>
      </w:r>
    </w:p>
    <w:p w:rsidR="009A5841" w:rsidRDefault="009A5841" w:rsidP="00BB5455">
      <w:r>
        <w:lastRenderedPageBreak/>
        <w:t>Die Einstellung der Unsicherheitsgrenze für die Spotpreisprognose steuert, wie aggressiv der Planungsalgorithmus planen soll. Wenn die Unsicherheitsgrenze z. B. auf 25 DKK gesetzt wird, plant das Werkzeug die Produktion, auch wenn die Prognose einen Verlust von bis zu 25 DKK pro Stunde anzeigt.</w:t>
      </w:r>
    </w:p>
    <w:p w:rsidR="009A5841" w:rsidRDefault="009A5841" w:rsidP="00BB5455">
      <w:r>
        <w:t>Die Einstellung „</w:t>
      </w:r>
      <w:r w:rsidR="00B508B3">
        <w:t>Nachtrag zu den Grenzkosten der Preisgestaltung der Angebote</w:t>
      </w:r>
      <w:r>
        <w:t>“ gibt eine feste Zulage an, die dem Grenzpreis hinzugefügt und anschließend zum Preis des Gebots wird.</w:t>
      </w:r>
    </w:p>
    <w:p w:rsidR="00C854A8" w:rsidRDefault="00C854A8" w:rsidP="00400C88">
      <w:pPr>
        <w:pStyle w:val="Heading3"/>
      </w:pPr>
      <w:r>
        <w:t>Intraday</w:t>
      </w:r>
    </w:p>
    <w:p w:rsidR="00551AAE" w:rsidRDefault="009E00B4" w:rsidP="00BB5455">
      <w:r>
        <w:t>Die Einstellung „</w:t>
      </w:r>
      <w:r w:rsidR="00245934">
        <w:t>Verfügbarkeit ohne Regelleistung</w:t>
      </w:r>
      <w:r>
        <w:t>“ zeigt an, ob man am Intradaymarkt beteiligt sein möchte.</w:t>
      </w:r>
    </w:p>
    <w:p w:rsidR="009E00B4" w:rsidRDefault="009E00B4" w:rsidP="00BB5455">
      <w:r>
        <w:t>Die Einstellung „Flexibilität automatisch berechnen“ (noch nicht eingebunden) bewirkt, dass das Programm auf täglicher Grundlage berechnet, welche Intradayflexibilität lt. Tankinhalt möglich ist.</w:t>
      </w:r>
    </w:p>
    <w:p w:rsidR="009E00B4" w:rsidRDefault="009E00B4" w:rsidP="00BB5455">
      <w:r>
        <w:t>„Min. zusammenhängende Stunden, die aktiviert werden können“ zeigt an, wie viele Stunden die Einheit mindestens produzieren muss, sofern eine Aktivierung erfolgt.  „Max. Anzahl Stunden, die aktiviert werden können“ zeigt an, wie viele Stunden aktiviert werden können (normalerweise ausgehend vom Platz im Tank), während „Max. Anzahl Starts pro Tag“ anzeigt, wie viele Starts der Anlage im Laufe eines Tages vertretbar sind.</w:t>
      </w:r>
    </w:p>
    <w:p w:rsidR="009E00B4" w:rsidRDefault="009E00B4" w:rsidP="00BB5455">
      <w:r>
        <w:t>Und schließlich gibt es die Einstellung „Abgelehnte Blockgebote automatisch konvertieren“. Ist diese Einstellung angekreuzt, erstellt der PBAS Planning Assistant ein Intraday-auf-Gebot bei abgelehntem Blockgebot sowie ein Intraday-ab-Gebot bei akzeptiertem Blockgebot, was den bedingten Geboten ähnelt, die im Regelenergiemarkt verwendet werden. Hier besteht auch die Möglichkeit eines Zulagenpreises, der von einer evtl. Preisvorlage aufgehoben wird.</w:t>
      </w:r>
    </w:p>
    <w:p w:rsidR="00A34923" w:rsidRDefault="00A34923" w:rsidP="00BB5455">
      <w:r>
        <w:t>Diese Intraday-Einstellungen sind die allgemeinen Einstellungen für Intraday. Diese Einstellungen können auch für einen bestimmten Tag überschrieben werden, sofern man bspw. eine geringere Anzahl max. Stunden zur Aktivierung benötigt. Diese Einstellungen befinden sich im Hauptfenster des PBAS Planning Assistants:</w:t>
      </w:r>
    </w:p>
    <w:p w:rsidR="00A34923" w:rsidRPr="00BB5455" w:rsidRDefault="00A34923" w:rsidP="00A34923">
      <w:pPr>
        <w:jc w:val="center"/>
      </w:pPr>
      <w:r>
        <w:rPr>
          <w:noProof/>
          <w:lang w:val="en-US" w:eastAsia="en-US" w:bidi="ar-SA"/>
        </w:rPr>
        <w:drawing>
          <wp:inline distT="0" distB="0" distL="0" distR="0">
            <wp:extent cx="3691832" cy="2061713"/>
            <wp:effectExtent l="0" t="0" r="4445" b="0"/>
            <wp:docPr id="3" name="Bille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691815" cy="2061704"/>
                    </a:xfrm>
                    <a:prstGeom prst="rect">
                      <a:avLst/>
                    </a:prstGeom>
                    <a:noFill/>
                    <a:ln>
                      <a:noFill/>
                    </a:ln>
                  </pic:spPr>
                </pic:pic>
              </a:graphicData>
            </a:graphic>
          </wp:inline>
        </w:drawing>
      </w:r>
    </w:p>
    <w:sectPr w:rsidR="00A34923" w:rsidRPr="00BB5455" w:rsidSect="00CC5004">
      <w:pgSz w:w="11907" w:h="16839" w:code="9"/>
      <w:pgMar w:top="284" w:right="1134" w:bottom="142" w:left="28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defaultTabStop w:val="1304"/>
  <w:hyphenationZone w:val="425"/>
  <w:characterSpacingControl w:val="doNotCompress"/>
  <w:compat>
    <w:compatSetting w:name="compatibilityMode" w:uri="http://schemas.microsoft.com/office/word" w:val="12"/>
  </w:compat>
  <w:rsids>
    <w:rsidRoot w:val="00523972"/>
    <w:rsid w:val="00063ADF"/>
    <w:rsid w:val="00121ADB"/>
    <w:rsid w:val="00136C44"/>
    <w:rsid w:val="001A4008"/>
    <w:rsid w:val="00245934"/>
    <w:rsid w:val="0034080A"/>
    <w:rsid w:val="00400C88"/>
    <w:rsid w:val="00464177"/>
    <w:rsid w:val="00523972"/>
    <w:rsid w:val="00551AAE"/>
    <w:rsid w:val="005C1982"/>
    <w:rsid w:val="00613DC0"/>
    <w:rsid w:val="006148E9"/>
    <w:rsid w:val="007B55F2"/>
    <w:rsid w:val="008B7B48"/>
    <w:rsid w:val="009A5841"/>
    <w:rsid w:val="009E00B4"/>
    <w:rsid w:val="00A34923"/>
    <w:rsid w:val="00B508B3"/>
    <w:rsid w:val="00BB5455"/>
    <w:rsid w:val="00C0104B"/>
    <w:rsid w:val="00C854A8"/>
    <w:rsid w:val="00CC5004"/>
    <w:rsid w:val="00DA4843"/>
    <w:rsid w:val="00E15866"/>
    <w:rsid w:val="00FC7930"/>
    <w:rsid w:val="00FC7B1E"/>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271C2A3-3240-41DD-B596-702149981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de-DE" w:bidi="de-DE"/>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4008"/>
  </w:style>
  <w:style w:type="paragraph" w:styleId="Heading2">
    <w:name w:val="heading 2"/>
    <w:basedOn w:val="Normal"/>
    <w:next w:val="Normal"/>
    <w:link w:val="Heading2Char"/>
    <w:uiPriority w:val="9"/>
    <w:unhideWhenUsed/>
    <w:qFormat/>
    <w:rsid w:val="00BB545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A5841"/>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2397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23972"/>
    <w:rPr>
      <w:rFonts w:ascii="Tahoma" w:hAnsi="Tahoma" w:cs="Tahoma"/>
      <w:sz w:val="16"/>
      <w:szCs w:val="16"/>
    </w:rPr>
  </w:style>
  <w:style w:type="paragraph" w:styleId="Caption">
    <w:name w:val="caption"/>
    <w:basedOn w:val="Normal"/>
    <w:next w:val="Normal"/>
    <w:uiPriority w:val="35"/>
    <w:unhideWhenUsed/>
    <w:qFormat/>
    <w:rsid w:val="00523972"/>
    <w:pPr>
      <w:spacing w:line="240" w:lineRule="auto"/>
    </w:pPr>
    <w:rPr>
      <w:b/>
      <w:bCs/>
      <w:color w:val="4F81BD" w:themeColor="accent1"/>
      <w:sz w:val="18"/>
      <w:szCs w:val="18"/>
    </w:rPr>
  </w:style>
  <w:style w:type="character" w:customStyle="1" w:styleId="Heading2Char">
    <w:name w:val="Heading 2 Char"/>
    <w:basedOn w:val="DefaultParagraphFont"/>
    <w:link w:val="Heading2"/>
    <w:uiPriority w:val="9"/>
    <w:rsid w:val="00BB545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A5841"/>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508</Words>
  <Characters>2901</Characters>
  <Application>Microsoft Office Word</Application>
  <DocSecurity>0</DocSecurity>
  <Lines>24</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NEAS</Company>
  <LinksUpToDate>false</LinksUpToDate>
  <CharactersWithSpaces>3403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Anders Borup</dc:creator>
  <cp:lastModifiedBy>Christian Rath</cp:lastModifiedBy>
  <cp:revision>7</cp:revision>
  <cp:lastPrinted>2014-12-17T08:20:00Z</cp:lastPrinted>
  <dcterms:created xsi:type="dcterms:W3CDTF">2014-12-17T10:28:00Z</dcterms:created>
  <dcterms:modified xsi:type="dcterms:W3CDTF">2015-10-18T08:26:00Z</dcterms:modified>
</cp:coreProperties>
</file>